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1A95768F"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EC4E4B">
        <w:rPr>
          <w:rFonts w:ascii="Arial" w:hAnsi="Arial" w:cs="Arial"/>
          <w:b/>
          <w:sz w:val="24"/>
          <w:lang w:eastAsia="zh-CN"/>
        </w:rPr>
        <w:t>1</w:t>
      </w:r>
      <w:r w:rsidR="007C6BFA">
        <w:rPr>
          <w:rFonts w:ascii="Arial" w:hAnsi="Arial" w:cs="Arial"/>
          <w:b/>
          <w:sz w:val="24"/>
          <w:lang w:eastAsia="zh-CN"/>
        </w:rPr>
        <w:t>b-</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7C6BFA">
        <w:rPr>
          <w:rFonts w:ascii="Arial" w:hAnsi="Arial"/>
          <w:b/>
          <w:sz w:val="24"/>
          <w:lang w:eastAsia="zh-CN"/>
        </w:rPr>
        <w:t>20</w:t>
      </w:r>
      <w:r w:rsidR="00C26F50">
        <w:rPr>
          <w:rFonts w:ascii="Arial" w:eastAsia="SimSun" w:hAnsi="Arial"/>
          <w:b/>
          <w:sz w:val="24"/>
          <w:lang w:eastAsia="zh-CN"/>
        </w:rPr>
        <w:t>1795</w:t>
      </w:r>
    </w:p>
    <w:p w14:paraId="69814E2E" w14:textId="68BD2738"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w:t>
      </w:r>
      <w:r w:rsidR="00AD57EA">
        <w:rPr>
          <w:rFonts w:ascii="Arial" w:eastAsia="SimSun" w:hAnsi="Arial"/>
          <w:b/>
          <w:sz w:val="24"/>
          <w:lang w:eastAsia="zh-CN"/>
        </w:rPr>
        <w:t>7</w:t>
      </w:r>
      <w:r w:rsidR="00472E0E">
        <w:rPr>
          <w:rFonts w:ascii="Arial" w:eastAsia="SimSun" w:hAnsi="Arial"/>
          <w:b/>
          <w:sz w:val="24"/>
          <w:vertAlign w:val="superscript"/>
          <w:lang w:eastAsia="zh-CN"/>
        </w:rPr>
        <w:t>t</w:t>
      </w:r>
      <w:r w:rsidR="00AD57EA">
        <w:rPr>
          <w:rFonts w:ascii="Arial" w:eastAsia="SimSun" w:hAnsi="Arial"/>
          <w:b/>
          <w:sz w:val="24"/>
          <w:vertAlign w:val="superscript"/>
          <w:lang w:eastAsia="zh-CN"/>
        </w:rPr>
        <w:t>h</w:t>
      </w:r>
      <w:r w:rsidR="00707604" w:rsidRPr="00707604">
        <w:rPr>
          <w:rFonts w:ascii="Arial" w:eastAsia="SimSun" w:hAnsi="Arial"/>
          <w:b/>
          <w:sz w:val="24"/>
          <w:lang w:eastAsia="zh-CN"/>
        </w:rPr>
        <w:t xml:space="preserve"> - </w:t>
      </w:r>
      <w:r w:rsidR="002E3D5C">
        <w:rPr>
          <w:rFonts w:ascii="Arial" w:eastAsia="SimSun" w:hAnsi="Arial"/>
          <w:b/>
          <w:sz w:val="24"/>
          <w:lang w:eastAsia="zh-CN"/>
        </w:rPr>
        <w:t>2</w:t>
      </w:r>
      <w:r w:rsidR="00AD57EA">
        <w:rPr>
          <w:rFonts w:ascii="Arial" w:eastAsia="SimSun" w:hAnsi="Arial"/>
          <w:b/>
          <w:sz w:val="24"/>
          <w:lang w:eastAsia="zh-CN"/>
        </w:rPr>
        <w:t>5</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AD57EA">
        <w:rPr>
          <w:rFonts w:ascii="Arial" w:eastAsia="SimSun" w:hAnsi="Arial"/>
          <w:b/>
          <w:sz w:val="24"/>
          <w:lang w:eastAsia="zh-CN"/>
        </w:rPr>
        <w:t>Jan</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AD57EA">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75EA670C"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B72CED" w:rsidRPr="00B72CED">
        <w:rPr>
          <w:rFonts w:eastAsia="SimSun"/>
          <w:sz w:val="24"/>
          <w:lang w:val="en-US" w:eastAsia="zh-CN"/>
        </w:rPr>
        <w:t>Further discussion on the WiderCBW approach</w:t>
      </w:r>
    </w:p>
    <w:p w14:paraId="6E5F21F2" w14:textId="7C373E70"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783037">
        <w:rPr>
          <w:rFonts w:eastAsia="SimSun"/>
          <w:sz w:val="24"/>
          <w:lang w:val="en-US" w:eastAsia="zh-CN"/>
        </w:rPr>
        <w:t>7</w:t>
      </w:r>
      <w:r w:rsidR="00722CE4">
        <w:rPr>
          <w:rFonts w:eastAsia="SimSun"/>
          <w:sz w:val="24"/>
          <w:lang w:val="en-US" w:eastAsia="zh-CN"/>
        </w:rPr>
        <w:t>.</w:t>
      </w:r>
      <w:r w:rsidR="00783037">
        <w:rPr>
          <w:rFonts w:eastAsia="SimSun"/>
          <w:sz w:val="24"/>
          <w:lang w:val="en-US" w:eastAsia="zh-CN"/>
        </w:rPr>
        <w:t>2</w:t>
      </w:r>
      <w:r w:rsidR="00722CE4">
        <w:rPr>
          <w:rFonts w:eastAsia="SimSun"/>
          <w:sz w:val="24"/>
          <w:lang w:val="en-US" w:eastAsia="zh-CN"/>
        </w:rPr>
        <w:t>.</w:t>
      </w:r>
      <w:r w:rsidR="00783037">
        <w:rPr>
          <w:rFonts w:eastAsia="SimSun"/>
          <w:sz w:val="24"/>
          <w:lang w:val="en-US" w:eastAsia="zh-CN"/>
        </w:rPr>
        <w:t>2</w:t>
      </w:r>
      <w:r w:rsidR="000E15D8">
        <w:rPr>
          <w:rFonts w:eastAsia="SimSun"/>
          <w:sz w:val="24"/>
          <w:lang w:val="en-US" w:eastAsia="zh-CN"/>
        </w:rPr>
        <w:t>.2</w:t>
      </w:r>
    </w:p>
    <w:p w14:paraId="52A64037" w14:textId="0E553745"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A0541E">
        <w:rPr>
          <w:rFonts w:eastAsia="SimSun"/>
          <w:sz w:val="24"/>
          <w:lang w:val="en-US" w:eastAsia="zh-CN"/>
        </w:rPr>
        <w:t>Approval</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4D7A8A91" w:rsidR="00670B13" w:rsidRDefault="00F23F74"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RAN4#101-e continued works on the study on the use of irregular bandwidth [1], and regarding the WiderCBW approach, a WF was agreed [2], and one open issue on the original note in 38.101-1 Table 5.4.2.3-1 is shown as below: </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580BF23C" w14:textId="77777777" w:rsidR="00261579" w:rsidRPr="00261579" w:rsidRDefault="00261579" w:rsidP="00261579">
            <w:pPr>
              <w:spacing w:after="180"/>
              <w:rPr>
                <w:rFonts w:eastAsia="Yu Mincho"/>
                <w:b/>
                <w:bCs/>
                <w:iCs/>
                <w:szCs w:val="20"/>
                <w:u w:val="single"/>
                <w:lang w:eastAsia="zh-CN"/>
              </w:rPr>
            </w:pPr>
            <w:r w:rsidRPr="00261579">
              <w:rPr>
                <w:rFonts w:eastAsia="Yu Mincho"/>
                <w:b/>
                <w:bCs/>
                <w:iCs/>
                <w:szCs w:val="20"/>
                <w:u w:val="single"/>
                <w:lang w:eastAsia="zh-CN"/>
              </w:rPr>
              <w:t>UE configuration beyond operating band</w:t>
            </w:r>
          </w:p>
          <w:p w14:paraId="5D58D4BE" w14:textId="77777777" w:rsidR="00261579" w:rsidRPr="00261579" w:rsidRDefault="00261579" w:rsidP="00261579">
            <w:pPr>
              <w:spacing w:after="180"/>
              <w:rPr>
                <w:szCs w:val="20"/>
                <w:lang w:eastAsia="ko-KR"/>
              </w:rPr>
            </w:pPr>
            <w:r w:rsidRPr="00261579">
              <w:rPr>
                <w:szCs w:val="20"/>
                <w:lang w:eastAsia="ko-KR"/>
              </w:rPr>
              <w:t>The following note is in 38.101-1 Table 5.4.2.3-1:</w:t>
            </w:r>
          </w:p>
          <w:p w14:paraId="33E65AE9" w14:textId="77777777" w:rsidR="00261579" w:rsidRPr="00261579" w:rsidRDefault="00261579" w:rsidP="00261579">
            <w:pPr>
              <w:keepNext/>
              <w:ind w:left="1571" w:hanging="851"/>
              <w:rPr>
                <w:rFonts w:ascii="Arial" w:eastAsia="Yu Mincho" w:hAnsi="Arial" w:cs="Arial"/>
                <w:sz w:val="14"/>
                <w:szCs w:val="14"/>
                <w:lang w:val="x-none" w:eastAsia="ko-KR"/>
              </w:rPr>
            </w:pPr>
            <w:r w:rsidRPr="00261579">
              <w:rPr>
                <w:rFonts w:ascii="Arial" w:eastAsia="Yu Mincho" w:hAnsi="Arial" w:cs="Arial"/>
                <w:sz w:val="18"/>
                <w:szCs w:val="18"/>
                <w:lang w:val="x-none" w:eastAsia="ko-KR"/>
              </w:rPr>
              <w:t>NOTE 1: The channel numbers that designate carrier frequencies so close to the operating band</w:t>
            </w:r>
          </w:p>
          <w:p w14:paraId="068D3F7E" w14:textId="72573F1D" w:rsidR="00261579" w:rsidRPr="00261579" w:rsidRDefault="00261579" w:rsidP="00F23F74">
            <w:pPr>
              <w:keepNext/>
              <w:ind w:left="1571" w:hanging="851"/>
              <w:rPr>
                <w:rFonts w:ascii="Arial" w:eastAsia="Yu Mincho" w:hAnsi="Arial" w:cs="Arial"/>
                <w:sz w:val="16"/>
                <w:szCs w:val="16"/>
                <w:lang w:val="x-none" w:eastAsia="ko-KR"/>
              </w:rPr>
            </w:pPr>
            <w:r w:rsidRPr="00261579">
              <w:rPr>
                <w:rFonts w:ascii="Arial" w:eastAsia="Yu Mincho" w:hAnsi="Arial" w:cs="Arial"/>
                <w:sz w:val="18"/>
                <w:szCs w:val="18"/>
                <w:lang w:val="x-none" w:eastAsia="ko-KR"/>
              </w:rPr>
              <w:t>edges that the carrier extends beyond the operating band edge shall not be used.</w:t>
            </w:r>
          </w:p>
          <w:p w14:paraId="34C4C20A" w14:textId="368A0F08" w:rsidR="00517A56" w:rsidRPr="00261579" w:rsidRDefault="00261579" w:rsidP="00261579">
            <w:pPr>
              <w:spacing w:after="180"/>
              <w:rPr>
                <w:rFonts w:eastAsia="Yu Mincho"/>
                <w:iCs/>
                <w:szCs w:val="20"/>
                <w:lang w:eastAsia="zh-CN"/>
              </w:rPr>
            </w:pPr>
            <w:r w:rsidRPr="00261579">
              <w:rPr>
                <w:rFonts w:eastAsia="Yu Mincho"/>
                <w:iCs/>
                <w:szCs w:val="20"/>
                <w:lang w:eastAsia="zh-CN"/>
              </w:rPr>
              <w:t>Aspect 4: Clarification or Update to the above NOTE 1 be adopted such that it is omitted in case of operating an irregular bandwidth.</w:t>
            </w:r>
          </w:p>
        </w:tc>
      </w:tr>
    </w:tbl>
    <w:p w14:paraId="4650BC39" w14:textId="27FAC37B" w:rsidR="0019214A" w:rsidRPr="0019214A" w:rsidRDefault="00F23F74"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our views, the original note may still be applicable in the case of operating an irregular bandwidth.</w:t>
      </w:r>
      <w:r w:rsidR="003845B4">
        <w:rPr>
          <w:rFonts w:eastAsia="SimSun"/>
          <w:sz w:val="21"/>
          <w:szCs w:val="21"/>
          <w:lang w:val="en-US" w:eastAsia="zh-CN"/>
        </w:rPr>
        <w:t xml:space="preserve">  </w:t>
      </w:r>
    </w:p>
    <w:p w14:paraId="2251A6E2" w14:textId="167E5540" w:rsidR="00B43919" w:rsidRDefault="00B85869"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Pr>
          <w:rFonts w:eastAsia="SimSun"/>
          <w:lang w:val="en-US" w:eastAsia="zh-CN"/>
        </w:rPr>
        <w:t>Discussion</w:t>
      </w:r>
    </w:p>
    <w:p w14:paraId="0C106C5D" w14:textId="0F7764A2" w:rsidR="001A0FE7" w:rsidRDefault="0009631F"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In particular, when the spectrum with an irregular bandwidth is located close to one edge of the concerned operating band, there are several potential ways of placing the WiderCBW to cover the irregular bandwidth. Fig. 1 shows three different ways</w:t>
      </w:r>
      <w:r w:rsidR="00D431C5">
        <w:rPr>
          <w:rFonts w:eastAsia="SimSun"/>
          <w:bCs/>
          <w:sz w:val="21"/>
          <w:szCs w:val="21"/>
          <w:lang w:val="en-GB" w:eastAsia="zh-CN"/>
        </w:rPr>
        <w:t xml:space="preserve"> for an irregular bandwidth beginning from the lower edge of an operating band</w:t>
      </w:r>
      <w:r w:rsidR="009B548B">
        <w:rPr>
          <w:rFonts w:eastAsia="SimSun"/>
          <w:bCs/>
          <w:sz w:val="21"/>
          <w:szCs w:val="21"/>
          <w:lang w:val="en-GB" w:eastAsia="zh-CN"/>
        </w:rPr>
        <w:t xml:space="preserve">, where the WiderCBW carrier is placed </w:t>
      </w:r>
      <w:r w:rsidR="009B548B" w:rsidRPr="009B548B">
        <w:rPr>
          <w:rFonts w:eastAsia="SimSun"/>
          <w:bCs/>
          <w:sz w:val="21"/>
          <w:szCs w:val="21"/>
          <w:lang w:val="en-GB" w:eastAsia="zh-CN"/>
        </w:rPr>
        <w:t>left-aligned, center-aligned and right-aligned</w:t>
      </w:r>
      <w:r w:rsidR="009B548B">
        <w:rPr>
          <w:rFonts w:eastAsia="SimSun"/>
          <w:bCs/>
          <w:sz w:val="21"/>
          <w:szCs w:val="21"/>
          <w:lang w:val="en-GB" w:eastAsia="zh-CN"/>
        </w:rPr>
        <w:t xml:space="preserve"> with the irregular bandwidth</w:t>
      </w:r>
      <w:r w:rsidR="009B548B" w:rsidRPr="009B548B">
        <w:rPr>
          <w:rFonts w:eastAsia="SimSun"/>
          <w:bCs/>
          <w:sz w:val="21"/>
          <w:szCs w:val="21"/>
          <w:lang w:val="en-GB" w:eastAsia="zh-CN"/>
        </w:rPr>
        <w:t xml:space="preserve"> respectively</w:t>
      </w:r>
      <w:r w:rsidR="00D431C5">
        <w:rPr>
          <w:rFonts w:eastAsia="SimSun"/>
          <w:bCs/>
          <w:sz w:val="21"/>
          <w:szCs w:val="21"/>
          <w:lang w:val="en-GB" w:eastAsia="zh-CN"/>
        </w:rPr>
        <w:t>.</w:t>
      </w:r>
    </w:p>
    <w:p w14:paraId="07B69F27" w14:textId="4BA83F1C" w:rsidR="001929B6" w:rsidRDefault="001929B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RAN4 has sent an LS to RAN2 with some questions related to different approaches for utilizing irregular bandwidth, and received the reply LS [3]. The replies on the WiderCBW approach are excerpted as below:</w:t>
      </w:r>
    </w:p>
    <w:tbl>
      <w:tblPr>
        <w:tblStyle w:val="TableGrid"/>
        <w:tblW w:w="0" w:type="auto"/>
        <w:tblLook w:val="04A0" w:firstRow="1" w:lastRow="0" w:firstColumn="1" w:lastColumn="0" w:noHBand="0" w:noVBand="1"/>
      </w:tblPr>
      <w:tblGrid>
        <w:gridCol w:w="9288"/>
      </w:tblGrid>
      <w:tr w:rsidR="001929B6" w:rsidRPr="00291FF6" w14:paraId="24703EE8" w14:textId="77777777" w:rsidTr="001929B6">
        <w:tc>
          <w:tcPr>
            <w:tcW w:w="9288" w:type="dxa"/>
          </w:tcPr>
          <w:p w14:paraId="013C98DE" w14:textId="77777777" w:rsidR="00291FF6" w:rsidRPr="00291FF6" w:rsidRDefault="00291FF6" w:rsidP="00291FF6">
            <w:pPr>
              <w:tabs>
                <w:tab w:val="center" w:pos="4153"/>
                <w:tab w:val="right" w:pos="8306"/>
              </w:tabs>
              <w:rPr>
                <w:rFonts w:eastAsia="SimSun" w:cs="Arial"/>
                <w:b/>
                <w:i/>
                <w:iCs/>
                <w:szCs w:val="20"/>
                <w:lang w:val="en-GB" w:eastAsia="zh-CN"/>
              </w:rPr>
            </w:pPr>
          </w:p>
          <w:p w14:paraId="0CC132E6" w14:textId="77777777" w:rsidR="00291FF6" w:rsidRPr="00291FF6" w:rsidRDefault="00291FF6" w:rsidP="00291FF6">
            <w:pPr>
              <w:widowControl w:val="0"/>
              <w:numPr>
                <w:ilvl w:val="0"/>
                <w:numId w:val="30"/>
              </w:numPr>
              <w:overflowPunct w:val="0"/>
              <w:autoSpaceDE w:val="0"/>
              <w:autoSpaceDN w:val="0"/>
              <w:adjustRightInd w:val="0"/>
              <w:textAlignment w:val="baseline"/>
              <w:rPr>
                <w:rFonts w:eastAsia="SimSun" w:cs="Arial"/>
                <w:bCs/>
                <w:i/>
                <w:iCs/>
                <w:szCs w:val="20"/>
                <w:lang w:val="en-GB" w:eastAsia="zh-CN"/>
              </w:rPr>
            </w:pPr>
            <w:r w:rsidRPr="00291FF6">
              <w:rPr>
                <w:rFonts w:eastAsia="SimSun" w:cs="Arial"/>
                <w:bCs/>
                <w:i/>
                <w:iCs/>
                <w:szCs w:val="20"/>
                <w:lang w:val="en-GB" w:eastAsia="zh-CN"/>
              </w:rPr>
              <w:t>For the wider CBW:</w:t>
            </w:r>
          </w:p>
          <w:p w14:paraId="6ACA6883" w14:textId="77777777" w:rsidR="00291FF6" w:rsidRPr="00291FF6" w:rsidRDefault="00291FF6" w:rsidP="00291FF6">
            <w:pPr>
              <w:widowControl w:val="0"/>
              <w:numPr>
                <w:ilvl w:val="1"/>
                <w:numId w:val="30"/>
              </w:numPr>
              <w:overflowPunct w:val="0"/>
              <w:autoSpaceDE w:val="0"/>
              <w:autoSpaceDN w:val="0"/>
              <w:adjustRightInd w:val="0"/>
              <w:textAlignment w:val="baseline"/>
              <w:rPr>
                <w:rFonts w:eastAsia="SimSun" w:cs="Arial"/>
                <w:b/>
                <w:i/>
                <w:iCs/>
                <w:szCs w:val="20"/>
                <w:lang w:val="en-GB" w:eastAsia="zh-CN"/>
              </w:rPr>
            </w:pPr>
            <w:r w:rsidRPr="00291FF6">
              <w:rPr>
                <w:rFonts w:eastAsia="SimSun" w:cs="Arial"/>
                <w:i/>
                <w:iCs/>
                <w:szCs w:val="20"/>
                <w:lang w:val="en-GB" w:eastAsia="zh-CN"/>
              </w:rPr>
              <w:t>clarify if there is any limitation for the UL carrier positions (not just BWP positions) legacy UEs support for uplinkChannelBW-PerSCS-List and scs-SpecificCarrierList in symmetric operating bands with a fixed duplex distance and asymmetric UL/DL channel bandwidth.</w:t>
            </w:r>
          </w:p>
          <w:p w14:paraId="72184F74" w14:textId="77777777" w:rsidR="00291FF6" w:rsidRPr="00291FF6" w:rsidRDefault="00291FF6" w:rsidP="00291FF6">
            <w:pPr>
              <w:widowControl w:val="0"/>
              <w:numPr>
                <w:ilvl w:val="1"/>
                <w:numId w:val="30"/>
              </w:numPr>
              <w:overflowPunct w:val="0"/>
              <w:autoSpaceDE w:val="0"/>
              <w:autoSpaceDN w:val="0"/>
              <w:adjustRightInd w:val="0"/>
              <w:textAlignment w:val="baseline"/>
              <w:rPr>
                <w:rFonts w:eastAsia="SimSun" w:cs="Arial"/>
                <w:b/>
                <w:i/>
                <w:iCs/>
                <w:color w:val="4472C4"/>
                <w:szCs w:val="20"/>
                <w:lang w:val="en-GB" w:eastAsia="zh-CN"/>
              </w:rPr>
            </w:pPr>
            <w:r w:rsidRPr="00291FF6">
              <w:rPr>
                <w:rFonts w:eastAsia="SimSun" w:cs="Arial"/>
                <w:b/>
                <w:i/>
                <w:iCs/>
                <w:color w:val="4472C4"/>
                <w:szCs w:val="20"/>
                <w:lang w:val="en-GB" w:eastAsia="zh-CN"/>
              </w:rPr>
              <w:t>RAN2 response:</w:t>
            </w:r>
            <w:r w:rsidRPr="00291FF6">
              <w:rPr>
                <w:rFonts w:eastAsia="SimSun" w:cs="Arial"/>
                <w:i/>
                <w:iCs/>
                <w:color w:val="4472C4"/>
                <w:szCs w:val="20"/>
                <w:lang w:val="en-GB" w:eastAsia="zh-CN"/>
              </w:rPr>
              <w:t xml:space="preserve"> RAN2 specifications currently assume that network only configures channel bandwidth that corresponds to the channel bandwidth values defined in TS 38.101-1 and TS 38.101-2.</w:t>
            </w:r>
          </w:p>
          <w:p w14:paraId="29ACFFEA" w14:textId="77777777" w:rsidR="00291FF6" w:rsidRPr="00291FF6" w:rsidRDefault="00291FF6" w:rsidP="00291FF6">
            <w:pPr>
              <w:tabs>
                <w:tab w:val="center" w:pos="4153"/>
                <w:tab w:val="right" w:pos="8306"/>
              </w:tabs>
              <w:ind w:left="1440"/>
              <w:rPr>
                <w:rFonts w:eastAsia="SimSun" w:cs="Arial"/>
                <w:b/>
                <w:i/>
                <w:iCs/>
                <w:szCs w:val="20"/>
                <w:lang w:val="en-GB" w:eastAsia="zh-CN"/>
              </w:rPr>
            </w:pPr>
          </w:p>
          <w:p w14:paraId="6CE287B3" w14:textId="77777777" w:rsidR="00291FF6" w:rsidRPr="00291FF6" w:rsidRDefault="00291FF6" w:rsidP="00291FF6">
            <w:pPr>
              <w:widowControl w:val="0"/>
              <w:numPr>
                <w:ilvl w:val="1"/>
                <w:numId w:val="30"/>
              </w:numPr>
              <w:overflowPunct w:val="0"/>
              <w:autoSpaceDE w:val="0"/>
              <w:autoSpaceDN w:val="0"/>
              <w:adjustRightInd w:val="0"/>
              <w:textAlignment w:val="baseline"/>
              <w:rPr>
                <w:rFonts w:eastAsia="SimSun" w:cs="Arial"/>
                <w:b/>
                <w:i/>
                <w:iCs/>
                <w:szCs w:val="20"/>
                <w:lang w:val="en-GB" w:eastAsia="zh-CN"/>
              </w:rPr>
            </w:pPr>
            <w:r w:rsidRPr="00291FF6">
              <w:rPr>
                <w:rFonts w:eastAsia="SimSun" w:cs="Arial"/>
                <w:i/>
                <w:iCs/>
                <w:szCs w:val="20"/>
                <w:lang w:val="en-GB" w:eastAsia="zh-CN"/>
              </w:rPr>
              <w:t xml:space="preserve">confirm UE behaviour if it is possible to configure a carrier that is not fully contained in the NR band, i.e. the carrier can extend beyond the low edge of the band and/or the high edge of the band? </w:t>
            </w:r>
          </w:p>
          <w:p w14:paraId="497CDA1C" w14:textId="77777777" w:rsidR="00291FF6" w:rsidRPr="00291FF6" w:rsidRDefault="00291FF6" w:rsidP="00291FF6">
            <w:pPr>
              <w:widowControl w:val="0"/>
              <w:numPr>
                <w:ilvl w:val="1"/>
                <w:numId w:val="30"/>
              </w:numPr>
              <w:overflowPunct w:val="0"/>
              <w:autoSpaceDE w:val="0"/>
              <w:autoSpaceDN w:val="0"/>
              <w:adjustRightInd w:val="0"/>
              <w:textAlignment w:val="baseline"/>
              <w:rPr>
                <w:rFonts w:eastAsia="SimSun" w:cs="Arial"/>
                <w:b/>
                <w:i/>
                <w:iCs/>
                <w:szCs w:val="20"/>
                <w:lang w:val="en-GB" w:eastAsia="zh-CN"/>
              </w:rPr>
            </w:pPr>
            <w:r w:rsidRPr="00291FF6">
              <w:rPr>
                <w:rFonts w:eastAsia="SimSun" w:cs="Arial"/>
                <w:b/>
                <w:i/>
                <w:iCs/>
                <w:color w:val="4472C4"/>
                <w:szCs w:val="20"/>
                <w:lang w:val="en-GB" w:eastAsia="zh-CN"/>
              </w:rPr>
              <w:lastRenderedPageBreak/>
              <w:t>RAN2 response:</w:t>
            </w:r>
            <w:r w:rsidRPr="00291FF6">
              <w:rPr>
                <w:rFonts w:eastAsia="SimSun" w:cs="Arial"/>
                <w:i/>
                <w:iCs/>
                <w:color w:val="4472C4"/>
                <w:szCs w:val="20"/>
                <w:lang w:val="en-GB" w:eastAsia="zh-CN"/>
              </w:rPr>
              <w:t xml:space="preserve"> RAN2 assumes network only configures channel bandwidth according to UE capabilities. UE behaviour is not specified when the channel bandwidth configuration exceeds the frequency band borders. </w:t>
            </w:r>
          </w:p>
          <w:p w14:paraId="431F5798" w14:textId="77777777" w:rsidR="001929B6" w:rsidRPr="00291FF6" w:rsidRDefault="001929B6" w:rsidP="009B2891">
            <w:pPr>
              <w:pStyle w:val="BodyText"/>
              <w:tabs>
                <w:tab w:val="num" w:pos="226"/>
                <w:tab w:val="num" w:pos="284"/>
                <w:tab w:val="left" w:pos="5103"/>
              </w:tabs>
              <w:snapToGrid w:val="0"/>
              <w:rPr>
                <w:rFonts w:eastAsia="SimSun"/>
                <w:bCs/>
                <w:i/>
                <w:iCs/>
                <w:sz w:val="21"/>
                <w:szCs w:val="21"/>
                <w:lang w:val="en-GB" w:eastAsia="zh-CN"/>
              </w:rPr>
            </w:pPr>
          </w:p>
        </w:tc>
      </w:tr>
    </w:tbl>
    <w:p w14:paraId="1089F5FC" w14:textId="4C79BE35" w:rsidR="001929B6" w:rsidRDefault="001929B6" w:rsidP="009B2891">
      <w:pPr>
        <w:pStyle w:val="BodyText"/>
        <w:tabs>
          <w:tab w:val="num" w:pos="226"/>
          <w:tab w:val="num" w:pos="284"/>
          <w:tab w:val="left" w:pos="5103"/>
        </w:tabs>
        <w:snapToGrid w:val="0"/>
        <w:rPr>
          <w:rFonts w:eastAsia="SimSun"/>
          <w:bCs/>
          <w:sz w:val="21"/>
          <w:szCs w:val="21"/>
          <w:lang w:val="en-GB" w:eastAsia="zh-CN"/>
        </w:rPr>
      </w:pPr>
    </w:p>
    <w:p w14:paraId="6B4883A5" w14:textId="77777777" w:rsidR="00352166" w:rsidRDefault="00291FF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From RAN2’s replies, though it is possible for the network to configure the position of the WiderCBW crossing the operating band border from signalling perspective, there is one risk that such UE behaviour is not specified.</w:t>
      </w:r>
    </w:p>
    <w:p w14:paraId="7582CFF7" w14:textId="6BE7A172" w:rsidR="00291FF6" w:rsidRPr="00352166" w:rsidRDefault="00352166" w:rsidP="009B2891">
      <w:pPr>
        <w:pStyle w:val="BodyText"/>
        <w:tabs>
          <w:tab w:val="num" w:pos="226"/>
          <w:tab w:val="num" w:pos="284"/>
          <w:tab w:val="left" w:pos="5103"/>
        </w:tabs>
        <w:snapToGrid w:val="0"/>
        <w:rPr>
          <w:rFonts w:eastAsia="SimSun"/>
          <w:b/>
          <w:sz w:val="21"/>
          <w:szCs w:val="21"/>
          <w:lang w:val="en-GB" w:eastAsia="zh-CN"/>
        </w:rPr>
      </w:pPr>
      <w:r w:rsidRPr="00352166">
        <w:rPr>
          <w:rFonts w:eastAsia="SimSun"/>
          <w:b/>
          <w:sz w:val="21"/>
          <w:szCs w:val="21"/>
          <w:lang w:val="en-GB" w:eastAsia="zh-CN"/>
        </w:rPr>
        <w:t>Observation 1: The UE behaviour is not specified for a carrier placed crossing the operating band border.</w:t>
      </w:r>
      <w:r w:rsidR="00291FF6" w:rsidRPr="00352166">
        <w:rPr>
          <w:rFonts w:eastAsia="SimSun"/>
          <w:b/>
          <w:sz w:val="21"/>
          <w:szCs w:val="21"/>
          <w:lang w:val="en-GB" w:eastAsia="zh-CN"/>
        </w:rPr>
        <w:t xml:space="preserve"> </w:t>
      </w:r>
    </w:p>
    <w:p w14:paraId="3A7BFF20" w14:textId="5CE37351" w:rsidR="000E49C0" w:rsidRDefault="000E49C0"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Moreover, RAN4 define and specify BS RF requirements in a band-centric way, and it may require more study on this new topic technically if allowing a carrier crossing an operating band border, even it is “virtual”.</w:t>
      </w:r>
    </w:p>
    <w:p w14:paraId="497DF871" w14:textId="54CEF7B6" w:rsidR="00352166" w:rsidRPr="00352166" w:rsidRDefault="00352166" w:rsidP="009B2891">
      <w:pPr>
        <w:pStyle w:val="BodyText"/>
        <w:tabs>
          <w:tab w:val="num" w:pos="226"/>
          <w:tab w:val="num" w:pos="284"/>
          <w:tab w:val="left" w:pos="5103"/>
        </w:tabs>
        <w:snapToGrid w:val="0"/>
        <w:rPr>
          <w:rFonts w:eastAsia="SimSun"/>
          <w:b/>
          <w:sz w:val="21"/>
          <w:szCs w:val="21"/>
          <w:lang w:val="en-GB" w:eastAsia="zh-CN"/>
        </w:rPr>
      </w:pPr>
      <w:r w:rsidRPr="00352166">
        <w:rPr>
          <w:rFonts w:eastAsia="SimSun"/>
          <w:b/>
          <w:sz w:val="21"/>
          <w:szCs w:val="21"/>
          <w:lang w:val="en-GB" w:eastAsia="zh-CN"/>
        </w:rPr>
        <w:t>Observation 2: BS RF requirement is specified in a band-centric way, and it requires more technical study if allowing a carrier crossing the operating band border.</w:t>
      </w:r>
    </w:p>
    <w:p w14:paraId="601C8C7E" w14:textId="62C1EC01" w:rsidR="00352166" w:rsidRDefault="000E49C0" w:rsidP="000E49C0">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For the left-aligned placement, the WiderCBW carrier does not exceed the operating band edge, therefore the original Note 1 applies. However, for the centre and right-aligned placement, the “virtual” WiderCBW carrier will cross the operating band edge, which means the need to update Note 1.</w:t>
      </w:r>
      <w:r w:rsidR="00352166">
        <w:rPr>
          <w:rFonts w:eastAsia="SimSun"/>
          <w:bCs/>
          <w:sz w:val="21"/>
          <w:szCs w:val="21"/>
          <w:lang w:val="en-GB" w:eastAsia="zh-CN"/>
        </w:rPr>
        <w:t xml:space="preserve"> And according to the agreement reached in RAN4#101-e</w:t>
      </w:r>
      <w:r w:rsidR="00AC6FE3">
        <w:rPr>
          <w:rFonts w:eastAsia="SimSun"/>
          <w:bCs/>
          <w:sz w:val="21"/>
          <w:szCs w:val="21"/>
          <w:lang w:val="en-GB" w:eastAsia="zh-CN"/>
        </w:rPr>
        <w:t xml:space="preserve"> [2], the full flexibility is guaranteed from specs perspective to keep the virtual WiderCBW carrier within the concerned operating band.</w:t>
      </w:r>
    </w:p>
    <w:tbl>
      <w:tblPr>
        <w:tblStyle w:val="TableGrid"/>
        <w:tblW w:w="0" w:type="auto"/>
        <w:tblLook w:val="04A0" w:firstRow="1" w:lastRow="0" w:firstColumn="1" w:lastColumn="0" w:noHBand="0" w:noVBand="1"/>
      </w:tblPr>
      <w:tblGrid>
        <w:gridCol w:w="9288"/>
      </w:tblGrid>
      <w:tr w:rsidR="00AC6FE3" w14:paraId="5F137893" w14:textId="77777777" w:rsidTr="00AC6FE3">
        <w:tc>
          <w:tcPr>
            <w:tcW w:w="9288" w:type="dxa"/>
          </w:tcPr>
          <w:p w14:paraId="2E395E9A" w14:textId="77777777" w:rsidR="00AC6FE3" w:rsidRPr="00AC6FE3" w:rsidRDefault="00AC6FE3" w:rsidP="00AC6FE3">
            <w:pPr>
              <w:spacing w:after="180"/>
              <w:rPr>
                <w:rFonts w:eastAsia="Yu Mincho"/>
                <w:b/>
                <w:bCs/>
                <w:iCs/>
                <w:szCs w:val="20"/>
                <w:u w:val="single"/>
                <w:lang w:eastAsia="zh-CN"/>
              </w:rPr>
            </w:pPr>
            <w:r w:rsidRPr="00AC6FE3">
              <w:rPr>
                <w:rFonts w:eastAsia="Yu Mincho"/>
                <w:b/>
                <w:bCs/>
                <w:iCs/>
                <w:szCs w:val="20"/>
                <w:u w:val="single"/>
                <w:lang w:eastAsia="zh-CN"/>
              </w:rPr>
              <w:t>Channel bandwidth Alignment</w:t>
            </w:r>
          </w:p>
          <w:p w14:paraId="69EEF91C" w14:textId="77777777" w:rsidR="00AC6FE3" w:rsidRPr="00AC6FE3" w:rsidRDefault="00AC6FE3" w:rsidP="00AC6FE3">
            <w:pPr>
              <w:spacing w:after="180"/>
              <w:rPr>
                <w:rFonts w:eastAsia="Yu Mincho"/>
                <w:iCs/>
                <w:szCs w:val="20"/>
                <w:lang w:eastAsia="zh-CN"/>
              </w:rPr>
            </w:pPr>
            <w:r w:rsidRPr="00AC6FE3">
              <w:rPr>
                <w:rFonts w:eastAsia="Yu Mincho"/>
                <w:iCs/>
                <w:szCs w:val="20"/>
                <w:lang w:eastAsia="zh-CN"/>
              </w:rPr>
              <w:t>Following options were down selected from discussions:</w:t>
            </w:r>
          </w:p>
          <w:p w14:paraId="0FD785BC" w14:textId="77777777" w:rsidR="00AC6FE3" w:rsidRPr="00AC6FE3" w:rsidRDefault="00AC6FE3" w:rsidP="00AC6FE3">
            <w:pPr>
              <w:spacing w:after="180"/>
              <w:rPr>
                <w:rFonts w:eastAsia="Yu Mincho"/>
                <w:iCs/>
                <w:szCs w:val="20"/>
                <w:lang w:eastAsia="zh-CN"/>
              </w:rPr>
            </w:pPr>
            <w:r w:rsidRPr="00AC6FE3">
              <w:rPr>
                <w:rFonts w:eastAsia="Yu Mincho"/>
                <w:iCs/>
                <w:szCs w:val="20"/>
                <w:lang w:eastAsia="zh-CN"/>
              </w:rPr>
              <w:t xml:space="preserve">Option 3: smallerCBW and widerCBW placed on lowest edge </w:t>
            </w:r>
          </w:p>
          <w:p w14:paraId="5A32399D" w14:textId="77777777" w:rsidR="00AC6FE3" w:rsidRPr="00AC6FE3" w:rsidRDefault="00AC6FE3" w:rsidP="00AC6FE3">
            <w:pPr>
              <w:spacing w:after="180"/>
              <w:rPr>
                <w:rFonts w:eastAsia="Yu Mincho"/>
                <w:iCs/>
                <w:szCs w:val="20"/>
                <w:lang w:eastAsia="zh-CN"/>
              </w:rPr>
            </w:pPr>
            <w:r w:rsidRPr="00AC6FE3">
              <w:rPr>
                <w:rFonts w:eastAsia="Yu Mincho"/>
                <w:iCs/>
                <w:szCs w:val="20"/>
                <w:lang w:eastAsia="zh-CN"/>
              </w:rPr>
              <w:t>Option 4:</w:t>
            </w:r>
            <w:r w:rsidRPr="00AC6FE3">
              <w:rPr>
                <w:szCs w:val="20"/>
                <w:lang w:val="en-GB"/>
              </w:rPr>
              <w:t xml:space="preserve"> </w:t>
            </w:r>
            <w:r w:rsidRPr="00AC6FE3">
              <w:rPr>
                <w:rFonts w:eastAsia="Yu Mincho"/>
                <w:iCs/>
                <w:szCs w:val="20"/>
                <w:lang w:eastAsia="zh-CN"/>
              </w:rPr>
              <w:t>Leave up to deployment when align left/right when co-located scenarios</w:t>
            </w:r>
          </w:p>
          <w:p w14:paraId="53D91E57" w14:textId="77777777" w:rsidR="00AC6FE3" w:rsidRPr="00AC6FE3" w:rsidRDefault="00AC6FE3" w:rsidP="00AC6FE3">
            <w:pPr>
              <w:spacing w:after="180"/>
              <w:rPr>
                <w:rFonts w:eastAsia="Yu Mincho"/>
                <w:iCs/>
                <w:szCs w:val="20"/>
                <w:lang w:eastAsia="zh-CN"/>
              </w:rPr>
            </w:pPr>
            <w:r w:rsidRPr="00AC6FE3">
              <w:rPr>
                <w:rFonts w:eastAsia="Yu Mincho"/>
                <w:iCs/>
                <w:szCs w:val="20"/>
                <w:lang w:eastAsia="zh-CN"/>
              </w:rPr>
              <w:t>Option 5: As an extension to Option 4 the network shall provide assistance to the UE on the blocker location and adjust available PRBs by means of scheduling of UE</w:t>
            </w:r>
          </w:p>
          <w:p w14:paraId="4B6DD56F" w14:textId="77777777" w:rsidR="00AC6FE3" w:rsidRPr="00AC6FE3" w:rsidRDefault="00AC6FE3" w:rsidP="00AC6FE3">
            <w:pPr>
              <w:spacing w:after="180"/>
              <w:rPr>
                <w:rFonts w:eastAsia="Yu Mincho"/>
                <w:szCs w:val="20"/>
                <w:lang w:eastAsia="zh-CN"/>
              </w:rPr>
            </w:pPr>
            <w:r w:rsidRPr="00AC6FE3">
              <w:rPr>
                <w:rFonts w:eastAsia="Yu Mincho"/>
                <w:szCs w:val="20"/>
                <w:lang w:eastAsia="zh-CN"/>
              </w:rPr>
              <w:t xml:space="preserve">Option 6: </w:t>
            </w:r>
            <w:r w:rsidRPr="00AC6FE3">
              <w:rPr>
                <w:rFonts w:eastAsia="Yu Mincho"/>
                <w:iCs/>
                <w:szCs w:val="20"/>
                <w:lang w:eastAsia="zh-CN"/>
              </w:rPr>
              <w:t xml:space="preserve">As an extension to Option 4 </w:t>
            </w:r>
            <w:r w:rsidRPr="00AC6FE3">
              <w:rPr>
                <w:rFonts w:eastAsia="Yu Mincho"/>
                <w:szCs w:val="20"/>
                <w:lang w:eastAsia="zh-CN"/>
              </w:rPr>
              <w:t>UE channel bandwidth can be shifted center, right or left under the assistance of NW. Also, the available PRBs can be adjusted by means of scheduling.</w:t>
            </w:r>
          </w:p>
          <w:p w14:paraId="4FA1D765" w14:textId="77777777" w:rsidR="00AC6FE3" w:rsidRPr="00AC6FE3" w:rsidRDefault="00AC6FE3" w:rsidP="00AC6FE3">
            <w:pPr>
              <w:spacing w:after="180"/>
              <w:rPr>
                <w:rFonts w:ascii="DengXian" w:eastAsia="DengXian" w:hAnsi="DengXian"/>
                <w:b/>
                <w:iCs/>
                <w:szCs w:val="20"/>
                <w:highlight w:val="green"/>
                <w:lang w:eastAsia="zh-CN"/>
              </w:rPr>
            </w:pPr>
            <w:r w:rsidRPr="00AC6FE3">
              <w:rPr>
                <w:rFonts w:ascii="DengXian" w:eastAsia="DengXian" w:hAnsi="DengXian" w:hint="eastAsia"/>
                <w:b/>
                <w:iCs/>
                <w:szCs w:val="20"/>
                <w:highlight w:val="green"/>
                <w:lang w:eastAsia="zh-CN"/>
              </w:rPr>
              <w:t>A</w:t>
            </w:r>
            <w:r w:rsidRPr="00AC6FE3">
              <w:rPr>
                <w:rFonts w:ascii="DengXian" w:eastAsia="DengXian" w:hAnsi="DengXian"/>
                <w:b/>
                <w:iCs/>
                <w:szCs w:val="20"/>
                <w:highlight w:val="green"/>
                <w:lang w:eastAsia="zh-CN"/>
              </w:rPr>
              <w:t xml:space="preserve">greement: </w:t>
            </w:r>
          </w:p>
          <w:p w14:paraId="69DD04F1" w14:textId="4283570F" w:rsidR="00AC6FE3" w:rsidRPr="00AC6FE3" w:rsidRDefault="00AC6FE3" w:rsidP="00AC6FE3">
            <w:pPr>
              <w:numPr>
                <w:ilvl w:val="0"/>
                <w:numId w:val="31"/>
              </w:numPr>
              <w:spacing w:after="180"/>
              <w:contextualSpacing/>
              <w:rPr>
                <w:rFonts w:ascii="DengXian" w:eastAsia="DengXian" w:hAnsi="DengXian"/>
                <w:b/>
                <w:iCs/>
                <w:szCs w:val="20"/>
                <w:highlight w:val="green"/>
                <w:lang w:eastAsia="zh-CN"/>
              </w:rPr>
            </w:pPr>
            <w:r w:rsidRPr="00AC6FE3">
              <w:rPr>
                <w:rFonts w:ascii="DengXian" w:eastAsia="DengXian" w:hAnsi="DengXian"/>
                <w:b/>
                <w:iCs/>
                <w:szCs w:val="20"/>
                <w:highlight w:val="green"/>
                <w:lang w:eastAsia="zh-CN"/>
              </w:rPr>
              <w:t>Use option 4 as baseline. If issue is identified, option 5 and/or option 6 can be considered.</w:t>
            </w:r>
          </w:p>
        </w:tc>
      </w:tr>
    </w:tbl>
    <w:p w14:paraId="1637F3FA" w14:textId="77777777" w:rsidR="00AC6FE3" w:rsidRDefault="00AC6FE3" w:rsidP="000E49C0">
      <w:pPr>
        <w:pStyle w:val="BodyText"/>
        <w:tabs>
          <w:tab w:val="num" w:pos="226"/>
          <w:tab w:val="num" w:pos="284"/>
          <w:tab w:val="left" w:pos="5103"/>
        </w:tabs>
        <w:snapToGrid w:val="0"/>
        <w:rPr>
          <w:rFonts w:eastAsia="SimSun"/>
          <w:bCs/>
          <w:sz w:val="21"/>
          <w:szCs w:val="21"/>
          <w:lang w:val="en-GB" w:eastAsia="zh-CN"/>
        </w:rPr>
      </w:pPr>
    </w:p>
    <w:p w14:paraId="70022549" w14:textId="52994E9A" w:rsidR="00352166" w:rsidRPr="00AC6FE3" w:rsidRDefault="00352166" w:rsidP="000E49C0">
      <w:pPr>
        <w:pStyle w:val="BodyText"/>
        <w:tabs>
          <w:tab w:val="num" w:pos="226"/>
          <w:tab w:val="num" w:pos="284"/>
          <w:tab w:val="left" w:pos="5103"/>
        </w:tabs>
        <w:snapToGrid w:val="0"/>
        <w:rPr>
          <w:rFonts w:eastAsia="SimSun"/>
          <w:b/>
          <w:sz w:val="21"/>
          <w:szCs w:val="21"/>
          <w:lang w:val="en-GB" w:eastAsia="zh-CN"/>
        </w:rPr>
      </w:pPr>
      <w:r w:rsidRPr="00AC6FE3">
        <w:rPr>
          <w:rFonts w:eastAsia="SimSun"/>
          <w:b/>
          <w:sz w:val="21"/>
          <w:szCs w:val="21"/>
          <w:lang w:val="en-GB" w:eastAsia="zh-CN"/>
        </w:rPr>
        <w:t>Observation 3: It is alw</w:t>
      </w:r>
      <w:r w:rsidR="00AC6FE3" w:rsidRPr="00AC6FE3">
        <w:rPr>
          <w:rFonts w:eastAsia="SimSun"/>
          <w:b/>
          <w:sz w:val="21"/>
          <w:szCs w:val="21"/>
          <w:lang w:val="en-GB" w:eastAsia="zh-CN"/>
        </w:rPr>
        <w:t>ays possible to find a placement to keep the virtual WiderCBW carrier within the concerned operating band.</w:t>
      </w:r>
    </w:p>
    <w:p w14:paraId="26FA72D0" w14:textId="695061A9" w:rsidR="000E49C0" w:rsidRDefault="00AC6FE3"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With understandings above, we propose to keep the original Note 1 untouched for the irregular bandwidth operation.</w:t>
      </w:r>
    </w:p>
    <w:p w14:paraId="1509D9D7" w14:textId="1DEDCAA6" w:rsidR="001A0FE7" w:rsidRDefault="00CE029B" w:rsidP="00CE029B">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lastRenderedPageBreak/>
        <w:drawing>
          <wp:inline distT="0" distB="0" distL="0" distR="0" wp14:anchorId="2B40B193" wp14:editId="213434D9">
            <wp:extent cx="3190875" cy="35490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207372" cy="3567383"/>
                    </a:xfrm>
                    <a:prstGeom prst="rect">
                      <a:avLst/>
                    </a:prstGeom>
                  </pic:spPr>
                </pic:pic>
              </a:graphicData>
            </a:graphic>
          </wp:inline>
        </w:drawing>
      </w:r>
    </w:p>
    <w:p w14:paraId="4683F76E" w14:textId="7A253CFA" w:rsidR="006208F4" w:rsidRDefault="006208F4" w:rsidP="00CE029B">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 xml:space="preserve">Fig. 1, Placement of WiderCBW carrier covering IrregularBW </w:t>
      </w:r>
    </w:p>
    <w:p w14:paraId="317BF8AE" w14:textId="7386B4D8" w:rsidR="00811BE6" w:rsidRDefault="00811BE6" w:rsidP="009B2891">
      <w:pPr>
        <w:pStyle w:val="BodyText"/>
        <w:tabs>
          <w:tab w:val="num" w:pos="226"/>
          <w:tab w:val="num" w:pos="284"/>
          <w:tab w:val="left" w:pos="5103"/>
        </w:tabs>
        <w:snapToGrid w:val="0"/>
        <w:rPr>
          <w:rFonts w:eastAsia="SimSun"/>
          <w:bCs/>
          <w:sz w:val="21"/>
          <w:szCs w:val="21"/>
          <w:lang w:val="en-GB" w:eastAsia="zh-CN"/>
        </w:rPr>
      </w:pPr>
    </w:p>
    <w:p w14:paraId="7BFFF71C" w14:textId="25E907AE"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6240F5">
        <w:rPr>
          <w:rFonts w:eastAsia="SimSun"/>
          <w:b/>
          <w:bCs/>
          <w:sz w:val="21"/>
          <w:szCs w:val="21"/>
          <w:lang w:val="en-GB" w:eastAsia="zh-CN"/>
        </w:rPr>
        <w:t>1</w:t>
      </w:r>
      <w:r w:rsidRPr="009C0ACA">
        <w:rPr>
          <w:rFonts w:eastAsia="SimSun"/>
          <w:b/>
          <w:bCs/>
          <w:sz w:val="21"/>
          <w:szCs w:val="21"/>
          <w:lang w:val="en-GB" w:eastAsia="zh-CN"/>
        </w:rPr>
        <w:t xml:space="preserve">: </w:t>
      </w:r>
      <w:r w:rsidR="006240F5">
        <w:rPr>
          <w:rFonts w:eastAsia="SimSun"/>
          <w:b/>
          <w:bCs/>
          <w:sz w:val="21"/>
          <w:szCs w:val="21"/>
          <w:lang w:val="en-GB" w:eastAsia="zh-CN"/>
        </w:rPr>
        <w:t xml:space="preserve">Keep the original Note 1 </w:t>
      </w:r>
      <w:r w:rsidR="006240F5" w:rsidRPr="006240F5">
        <w:rPr>
          <w:rFonts w:eastAsia="SimSun"/>
          <w:b/>
          <w:bCs/>
          <w:sz w:val="21"/>
          <w:szCs w:val="21"/>
          <w:lang w:val="en-GB" w:eastAsia="zh-CN"/>
        </w:rPr>
        <w:t>in 38.101-1 Table 5.4.2.3-1</w:t>
      </w:r>
      <w:r w:rsidR="006240F5">
        <w:rPr>
          <w:rFonts w:eastAsia="SimSun"/>
          <w:b/>
          <w:bCs/>
          <w:sz w:val="21"/>
          <w:szCs w:val="21"/>
          <w:lang w:val="en-GB" w:eastAsia="zh-CN"/>
        </w:rPr>
        <w:t xml:space="preserve"> untouched for the irregular bandwidth operation.</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64CF204C"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DF7CEF">
        <w:rPr>
          <w:rFonts w:eastAsia="SimSun"/>
          <w:bCs/>
          <w:sz w:val="21"/>
          <w:szCs w:val="21"/>
          <w:lang w:val="en-GB" w:eastAsia="zh-CN"/>
        </w:rPr>
        <w:t>s</w:t>
      </w:r>
      <w:r>
        <w:rPr>
          <w:rFonts w:eastAsia="SimSun"/>
          <w:bCs/>
          <w:sz w:val="21"/>
          <w:szCs w:val="21"/>
          <w:lang w:val="en-GB" w:eastAsia="zh-CN"/>
        </w:rPr>
        <w:t xml:space="preserve"> and proposal for </w:t>
      </w:r>
      <w:r w:rsidR="00DF7CEF">
        <w:rPr>
          <w:rFonts w:eastAsia="SimSun"/>
          <w:bCs/>
          <w:sz w:val="21"/>
          <w:szCs w:val="21"/>
          <w:lang w:val="en-GB" w:eastAsia="zh-CN"/>
        </w:rPr>
        <w:t>the WiderCBW approach:</w:t>
      </w:r>
    </w:p>
    <w:p w14:paraId="254C9902" w14:textId="77777777" w:rsidR="00DF7CEF" w:rsidRPr="00352166" w:rsidRDefault="00DF7CEF" w:rsidP="00DF7CEF">
      <w:pPr>
        <w:pStyle w:val="BodyText"/>
        <w:tabs>
          <w:tab w:val="num" w:pos="226"/>
          <w:tab w:val="num" w:pos="284"/>
          <w:tab w:val="left" w:pos="5103"/>
        </w:tabs>
        <w:snapToGrid w:val="0"/>
        <w:rPr>
          <w:rFonts w:eastAsia="SimSun"/>
          <w:b/>
          <w:sz w:val="21"/>
          <w:szCs w:val="21"/>
          <w:lang w:val="en-GB" w:eastAsia="zh-CN"/>
        </w:rPr>
      </w:pPr>
      <w:r w:rsidRPr="00352166">
        <w:rPr>
          <w:rFonts w:eastAsia="SimSun"/>
          <w:b/>
          <w:sz w:val="21"/>
          <w:szCs w:val="21"/>
          <w:lang w:val="en-GB" w:eastAsia="zh-CN"/>
        </w:rPr>
        <w:t xml:space="preserve">Observation 1: The UE behaviour is not specified for a carrier placed crossing the operating band border. </w:t>
      </w:r>
    </w:p>
    <w:p w14:paraId="26643724" w14:textId="5072E8EC" w:rsidR="009C0ACA" w:rsidRPr="00DF7CEF" w:rsidRDefault="00DF7CEF" w:rsidP="00CA4C30">
      <w:pPr>
        <w:pStyle w:val="BodyText"/>
        <w:tabs>
          <w:tab w:val="num" w:pos="226"/>
          <w:tab w:val="num" w:pos="284"/>
          <w:tab w:val="left" w:pos="5103"/>
        </w:tabs>
        <w:snapToGrid w:val="0"/>
        <w:rPr>
          <w:rFonts w:eastAsia="SimSun"/>
          <w:b/>
          <w:sz w:val="21"/>
          <w:szCs w:val="21"/>
          <w:lang w:val="en-GB" w:eastAsia="zh-CN"/>
        </w:rPr>
      </w:pPr>
      <w:r w:rsidRPr="00352166">
        <w:rPr>
          <w:rFonts w:eastAsia="SimSun"/>
          <w:b/>
          <w:sz w:val="21"/>
          <w:szCs w:val="21"/>
          <w:lang w:val="en-GB" w:eastAsia="zh-CN"/>
        </w:rPr>
        <w:t>Observation 2: BS RF requirement is specified in a band-centric way, and it requires more technical study if allowing a carrier crossing the operating band border.</w:t>
      </w:r>
    </w:p>
    <w:p w14:paraId="0D43FE19" w14:textId="3206FDC3" w:rsidR="00DF7CEF" w:rsidRPr="00DF7CEF" w:rsidRDefault="00DF7CEF" w:rsidP="00CA4C30">
      <w:pPr>
        <w:pStyle w:val="BodyText"/>
        <w:tabs>
          <w:tab w:val="num" w:pos="226"/>
          <w:tab w:val="num" w:pos="284"/>
          <w:tab w:val="left" w:pos="5103"/>
        </w:tabs>
        <w:snapToGrid w:val="0"/>
        <w:rPr>
          <w:rFonts w:eastAsia="SimSun"/>
          <w:b/>
          <w:sz w:val="21"/>
          <w:szCs w:val="21"/>
          <w:lang w:val="en-GB" w:eastAsia="zh-CN"/>
        </w:rPr>
      </w:pPr>
      <w:r w:rsidRPr="00AC6FE3">
        <w:rPr>
          <w:rFonts w:eastAsia="SimSun"/>
          <w:b/>
          <w:sz w:val="21"/>
          <w:szCs w:val="21"/>
          <w:lang w:val="en-GB" w:eastAsia="zh-CN"/>
        </w:rPr>
        <w:t>Observation 3: It is always possible to find a placement to keep the virtual WiderCBW carrier within the concerned operating band.</w:t>
      </w:r>
    </w:p>
    <w:p w14:paraId="20C9061D" w14:textId="15743DBD" w:rsidR="00DF7CEF" w:rsidRPr="00DF7CEF" w:rsidRDefault="00DF7CEF" w:rsidP="00CA4C30">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 xml:space="preserve">: </w:t>
      </w:r>
      <w:r>
        <w:rPr>
          <w:rFonts w:eastAsia="SimSun"/>
          <w:b/>
          <w:bCs/>
          <w:sz w:val="21"/>
          <w:szCs w:val="21"/>
          <w:lang w:val="en-GB" w:eastAsia="zh-CN"/>
        </w:rPr>
        <w:t xml:space="preserve">Keep the original Note 1 </w:t>
      </w:r>
      <w:r w:rsidRPr="006240F5">
        <w:rPr>
          <w:rFonts w:eastAsia="SimSun"/>
          <w:b/>
          <w:bCs/>
          <w:sz w:val="21"/>
          <w:szCs w:val="21"/>
          <w:lang w:val="en-GB" w:eastAsia="zh-CN"/>
        </w:rPr>
        <w:t>in 38.101-1 Table 5.4.2.3-1</w:t>
      </w:r>
      <w:r>
        <w:rPr>
          <w:rFonts w:eastAsia="SimSun"/>
          <w:b/>
          <w:bCs/>
          <w:sz w:val="21"/>
          <w:szCs w:val="21"/>
          <w:lang w:val="en-GB" w:eastAsia="zh-CN"/>
        </w:rPr>
        <w:t xml:space="preserve"> untouched for the irregular bandwidth operation.</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2F060114" w:rsidR="00A208FC" w:rsidRDefault="00D0160F" w:rsidP="00C80ED3">
      <w:pPr>
        <w:pStyle w:val="List2"/>
      </w:pPr>
      <w:r w:rsidRPr="00D0160F">
        <w:t>R</w:t>
      </w:r>
      <w:r w:rsidR="00D52222">
        <w:t xml:space="preserve">4-2119934 </w:t>
      </w:r>
      <w:r w:rsidR="00D52222" w:rsidRPr="00D52222">
        <w:t>Email discussion summary for [101-e][134] FS_NR_eff_BW_util</w:t>
      </w:r>
      <w:r w:rsidR="00D52222">
        <w:t>, Moderator(Ericsson)</w:t>
      </w:r>
    </w:p>
    <w:p w14:paraId="5C2AC8D5" w14:textId="48A2B6C7" w:rsidR="00CC5B20" w:rsidRDefault="00CC5B20" w:rsidP="00C80ED3">
      <w:pPr>
        <w:pStyle w:val="List2"/>
      </w:pPr>
      <w:r>
        <w:t xml:space="preserve">R4-2120010 </w:t>
      </w:r>
      <w:r w:rsidRPr="00CC5B20">
        <w:t>WF on WiderCBW Approach</w:t>
      </w:r>
      <w:r>
        <w:t>, Ericsson</w:t>
      </w:r>
    </w:p>
    <w:p w14:paraId="254AD453" w14:textId="5E65985D" w:rsidR="00261579" w:rsidRPr="00183F7C" w:rsidRDefault="00261579" w:rsidP="00C80ED3">
      <w:pPr>
        <w:pStyle w:val="List2"/>
      </w:pPr>
      <w:r w:rsidRPr="00261579">
        <w:t>R4-2200031 Reply LS on specification impact for methods on efficient utilization of licensed spectrum that is not aligned with existing NR channel bandwidths, RAN2 (Nokia)</w:t>
      </w:r>
    </w:p>
    <w:sectPr w:rsidR="00261579"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374C2" w14:textId="77777777" w:rsidR="000C18DA" w:rsidRDefault="000C18DA" w:rsidP="00E7784C">
      <w:r>
        <w:separator/>
      </w:r>
    </w:p>
  </w:endnote>
  <w:endnote w:type="continuationSeparator" w:id="0">
    <w:p w14:paraId="7998AF5E" w14:textId="77777777" w:rsidR="000C18DA" w:rsidRDefault="000C18D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0D15A" w14:textId="77777777" w:rsidR="000C18DA" w:rsidRDefault="000C18DA" w:rsidP="00E7784C">
      <w:r>
        <w:separator/>
      </w:r>
    </w:p>
  </w:footnote>
  <w:footnote w:type="continuationSeparator" w:id="0">
    <w:p w14:paraId="387F6E00" w14:textId="77777777" w:rsidR="000C18DA" w:rsidRDefault="000C18DA"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70427B"/>
    <w:multiLevelType w:val="hybridMultilevel"/>
    <w:tmpl w:val="61C67A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9"/>
  </w:num>
  <w:num w:numId="4">
    <w:abstractNumId w:val="12"/>
  </w:num>
  <w:num w:numId="5">
    <w:abstractNumId w:val="15"/>
  </w:num>
  <w:num w:numId="6">
    <w:abstractNumId w:val="0"/>
  </w:num>
  <w:num w:numId="7">
    <w:abstractNumId w:val="21"/>
  </w:num>
  <w:num w:numId="8">
    <w:abstractNumId w:val="8"/>
  </w:num>
  <w:num w:numId="9">
    <w:abstractNumId w:val="6"/>
  </w:num>
  <w:num w:numId="10">
    <w:abstractNumId w:val="14"/>
  </w:num>
  <w:num w:numId="11">
    <w:abstractNumId w:val="1"/>
  </w:num>
  <w:num w:numId="12">
    <w:abstractNumId w:val="19"/>
  </w:num>
  <w:num w:numId="13">
    <w:abstractNumId w:val="19"/>
  </w:num>
  <w:num w:numId="14">
    <w:abstractNumId w:val="19"/>
  </w:num>
  <w:num w:numId="15">
    <w:abstractNumId w:val="11"/>
  </w:num>
  <w:num w:numId="16">
    <w:abstractNumId w:val="16"/>
  </w:num>
  <w:num w:numId="17">
    <w:abstractNumId w:val="19"/>
  </w:num>
  <w:num w:numId="18">
    <w:abstractNumId w:val="5"/>
  </w:num>
  <w:num w:numId="19">
    <w:abstractNumId w:val="9"/>
  </w:num>
  <w:num w:numId="20">
    <w:abstractNumId w:val="2"/>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3"/>
  </w:num>
  <w:num w:numId="28">
    <w:abstractNumId w:val="22"/>
  </w:num>
  <w:num w:numId="29">
    <w:abstractNumId w:val="13"/>
  </w:num>
  <w:num w:numId="30">
    <w:abstractNumId w:val="3"/>
  </w:num>
  <w:num w:numId="3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31F"/>
    <w:rsid w:val="00096E6A"/>
    <w:rsid w:val="000970B6"/>
    <w:rsid w:val="000A4D7E"/>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8DA"/>
    <w:rsid w:val="000C44AD"/>
    <w:rsid w:val="000C4C75"/>
    <w:rsid w:val="000C689C"/>
    <w:rsid w:val="000C7EE2"/>
    <w:rsid w:val="000D0676"/>
    <w:rsid w:val="000D0F51"/>
    <w:rsid w:val="000D1971"/>
    <w:rsid w:val="000D2C25"/>
    <w:rsid w:val="000D46CC"/>
    <w:rsid w:val="000D564A"/>
    <w:rsid w:val="000D5B1C"/>
    <w:rsid w:val="000D726A"/>
    <w:rsid w:val="000E08C1"/>
    <w:rsid w:val="000E15D8"/>
    <w:rsid w:val="000E16EE"/>
    <w:rsid w:val="000E2379"/>
    <w:rsid w:val="000E2607"/>
    <w:rsid w:val="000E3024"/>
    <w:rsid w:val="000E3FE7"/>
    <w:rsid w:val="000E49C0"/>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29B6"/>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1579"/>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1FF6"/>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16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4B0"/>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08F4"/>
    <w:rsid w:val="0062206E"/>
    <w:rsid w:val="006240F5"/>
    <w:rsid w:val="00624A40"/>
    <w:rsid w:val="0063035A"/>
    <w:rsid w:val="0063189F"/>
    <w:rsid w:val="00632832"/>
    <w:rsid w:val="00633146"/>
    <w:rsid w:val="00635726"/>
    <w:rsid w:val="0064060A"/>
    <w:rsid w:val="00641FC7"/>
    <w:rsid w:val="00642AD3"/>
    <w:rsid w:val="00643717"/>
    <w:rsid w:val="00643FD6"/>
    <w:rsid w:val="00645E9E"/>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37"/>
    <w:rsid w:val="00783080"/>
    <w:rsid w:val="007831A8"/>
    <w:rsid w:val="00784111"/>
    <w:rsid w:val="007847A0"/>
    <w:rsid w:val="00784AAE"/>
    <w:rsid w:val="00786B3A"/>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17C9"/>
    <w:rsid w:val="007C2548"/>
    <w:rsid w:val="007C4115"/>
    <w:rsid w:val="007C5135"/>
    <w:rsid w:val="007C614D"/>
    <w:rsid w:val="007C6BFA"/>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862"/>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4DE"/>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48B"/>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9F6DBD"/>
    <w:rsid w:val="00A00C56"/>
    <w:rsid w:val="00A00E35"/>
    <w:rsid w:val="00A01A8C"/>
    <w:rsid w:val="00A02195"/>
    <w:rsid w:val="00A03B85"/>
    <w:rsid w:val="00A04089"/>
    <w:rsid w:val="00A05343"/>
    <w:rsid w:val="00A0541E"/>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6FE3"/>
    <w:rsid w:val="00AC7222"/>
    <w:rsid w:val="00AD0001"/>
    <w:rsid w:val="00AD3F7B"/>
    <w:rsid w:val="00AD405C"/>
    <w:rsid w:val="00AD5163"/>
    <w:rsid w:val="00AD523D"/>
    <w:rsid w:val="00AD55F7"/>
    <w:rsid w:val="00AD57EA"/>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2CED"/>
    <w:rsid w:val="00B73B2F"/>
    <w:rsid w:val="00B76F3D"/>
    <w:rsid w:val="00B77351"/>
    <w:rsid w:val="00B80987"/>
    <w:rsid w:val="00B816DD"/>
    <w:rsid w:val="00B8176A"/>
    <w:rsid w:val="00B81EB2"/>
    <w:rsid w:val="00B825AB"/>
    <w:rsid w:val="00B831B1"/>
    <w:rsid w:val="00B83ADD"/>
    <w:rsid w:val="00B83DD8"/>
    <w:rsid w:val="00B85869"/>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26F50"/>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5C1"/>
    <w:rsid w:val="00CC398A"/>
    <w:rsid w:val="00CC4826"/>
    <w:rsid w:val="00CC488E"/>
    <w:rsid w:val="00CC4BEE"/>
    <w:rsid w:val="00CC5B20"/>
    <w:rsid w:val="00CC6B56"/>
    <w:rsid w:val="00CC7328"/>
    <w:rsid w:val="00CC7A0F"/>
    <w:rsid w:val="00CD0200"/>
    <w:rsid w:val="00CD0A75"/>
    <w:rsid w:val="00CD2FC7"/>
    <w:rsid w:val="00CD5952"/>
    <w:rsid w:val="00CD68D7"/>
    <w:rsid w:val="00CE029B"/>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40A6"/>
    <w:rsid w:val="00D35F51"/>
    <w:rsid w:val="00D36472"/>
    <w:rsid w:val="00D37619"/>
    <w:rsid w:val="00D404C8"/>
    <w:rsid w:val="00D41373"/>
    <w:rsid w:val="00D418CA"/>
    <w:rsid w:val="00D41B65"/>
    <w:rsid w:val="00D431C5"/>
    <w:rsid w:val="00D43C2D"/>
    <w:rsid w:val="00D43CFD"/>
    <w:rsid w:val="00D446A2"/>
    <w:rsid w:val="00D46733"/>
    <w:rsid w:val="00D50394"/>
    <w:rsid w:val="00D510E6"/>
    <w:rsid w:val="00D51731"/>
    <w:rsid w:val="00D5177F"/>
    <w:rsid w:val="00D521E7"/>
    <w:rsid w:val="00D52222"/>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DF7CEF"/>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3F74"/>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24</cp:revision>
  <cp:lastPrinted>2015-02-02T11:17:00Z</cp:lastPrinted>
  <dcterms:created xsi:type="dcterms:W3CDTF">2022-01-10T17:17:00Z</dcterms:created>
  <dcterms:modified xsi:type="dcterms:W3CDTF">2022-01-10T18:35:00Z</dcterms:modified>
</cp:coreProperties>
</file>